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098F3" w14:textId="77777777" w:rsidR="005C1585" w:rsidRPr="00356DC0" w:rsidRDefault="005C1585">
      <w:pPr>
        <w:rPr>
          <w:sz w:val="20"/>
        </w:rPr>
      </w:pPr>
      <w:r w:rsidRPr="00356DC0">
        <w:rPr>
          <w:sz w:val="20"/>
        </w:rPr>
        <w:t>Einführung Mediävistik</w:t>
      </w:r>
    </w:p>
    <w:p w14:paraId="28E8517C" w14:textId="77777777" w:rsidR="00584D72" w:rsidRPr="00356DC0" w:rsidRDefault="005C1585">
      <w:pPr>
        <w:rPr>
          <w:sz w:val="20"/>
        </w:rPr>
      </w:pPr>
      <w:r w:rsidRPr="00356DC0">
        <w:rPr>
          <w:sz w:val="20"/>
        </w:rPr>
        <w:t>Handout zur Vorlesung am 23.10.2023: Kultur des Mittelalters</w:t>
      </w:r>
    </w:p>
    <w:p w14:paraId="738AC627" w14:textId="77777777" w:rsidR="005C1585" w:rsidRPr="00356DC0" w:rsidRDefault="005C1585">
      <w:pPr>
        <w:rPr>
          <w:sz w:val="20"/>
        </w:rPr>
      </w:pPr>
      <w:r w:rsidRPr="00356DC0">
        <w:rPr>
          <w:sz w:val="20"/>
        </w:rPr>
        <w:t xml:space="preserve">Bei Fragen: </w:t>
      </w:r>
      <w:hyperlink r:id="rId5" w:history="1">
        <w:r w:rsidRPr="00356DC0">
          <w:rPr>
            <w:rStyle w:val="Hyperlink"/>
            <w:sz w:val="20"/>
          </w:rPr>
          <w:t>stefan.seeber@germanistik.uni-freiburg.de</w:t>
        </w:r>
      </w:hyperlink>
    </w:p>
    <w:p w14:paraId="2DE0CAA5" w14:textId="77777777" w:rsidR="005C1585" w:rsidRDefault="005C1585"/>
    <w:p w14:paraId="23CAD4D0" w14:textId="77777777" w:rsidR="005C1585" w:rsidRPr="00356DC0" w:rsidRDefault="005C1585" w:rsidP="00356DC0">
      <w:pPr>
        <w:jc w:val="center"/>
        <w:rPr>
          <w:b/>
          <w:u w:val="single"/>
        </w:rPr>
      </w:pPr>
      <w:r w:rsidRPr="00356DC0">
        <w:rPr>
          <w:b/>
          <w:u w:val="single"/>
        </w:rPr>
        <w:t>Stichworte und wichtige Zitate</w:t>
      </w:r>
    </w:p>
    <w:p w14:paraId="3753043B" w14:textId="77777777" w:rsidR="000D42A3" w:rsidRDefault="000D42A3"/>
    <w:p w14:paraId="06D62F04" w14:textId="77777777" w:rsidR="005C1585" w:rsidRPr="00356DC0" w:rsidRDefault="000D42A3" w:rsidP="000D42A3">
      <w:pPr>
        <w:pStyle w:val="ListParagraph"/>
        <w:numPr>
          <w:ilvl w:val="0"/>
          <w:numId w:val="3"/>
        </w:numPr>
        <w:rPr>
          <w:b/>
        </w:rPr>
      </w:pPr>
      <w:r w:rsidRPr="00356DC0">
        <w:rPr>
          <w:b/>
        </w:rPr>
        <w:t>Was ist Mittelalter?</w:t>
      </w:r>
    </w:p>
    <w:p w14:paraId="61D66F4A" w14:textId="77777777" w:rsidR="000D42A3" w:rsidRDefault="000D42A3" w:rsidP="000D42A3"/>
    <w:p w14:paraId="7A78449E" w14:textId="77777777" w:rsidR="005C1585" w:rsidRPr="005C1585" w:rsidRDefault="005C1585" w:rsidP="005C1585">
      <w:r>
        <w:t xml:space="preserve">Definition „Mittelalter“: „[…] </w:t>
      </w:r>
      <w:r w:rsidRPr="005C1585">
        <w:t xml:space="preserve">das Mittelalter ist ein Zeitraum, der nach Übereinkunft in der historischen Wissenschaft von ca. 500 – ca. 1500 reicht und auf den europäischen Raum begrenzt ist. Feste Eckdaten lassen sich nicht festlegen, man muss von fließenden Übergängen auf mehreren Ebenen der Geschichte ausgehen.“ </w:t>
      </w:r>
    </w:p>
    <w:p w14:paraId="72ED6053" w14:textId="77777777" w:rsidR="005C1585" w:rsidRPr="005C1585" w:rsidRDefault="005C1585" w:rsidP="005C1585">
      <w:r w:rsidRPr="005C1585">
        <w:rPr>
          <w:i/>
          <w:iCs/>
        </w:rPr>
        <w:t xml:space="preserve">(Ulrich </w:t>
      </w:r>
      <w:proofErr w:type="spellStart"/>
      <w:r w:rsidRPr="005C1585">
        <w:rPr>
          <w:i/>
          <w:iCs/>
        </w:rPr>
        <w:t>Knefelkamp</w:t>
      </w:r>
      <w:proofErr w:type="spellEnd"/>
      <w:r w:rsidRPr="005C1585">
        <w:rPr>
          <w:i/>
          <w:iCs/>
        </w:rPr>
        <w:t>: Das Mittelalter. Geschichte im Überblick, 4., durchgesehene Auflage, Paderborn: Brill/Schöningh, 2022, S. 14f.)</w:t>
      </w:r>
    </w:p>
    <w:p w14:paraId="179544F8" w14:textId="77777777" w:rsidR="005C1585" w:rsidRDefault="005C1585"/>
    <w:p w14:paraId="54839876" w14:textId="77777777" w:rsidR="005C1585" w:rsidRDefault="005C1585">
      <w:r>
        <w:t>Problematik des Mittelalterbegriffs: Wertungen, Perspektiven</w:t>
      </w:r>
    </w:p>
    <w:p w14:paraId="577CD3D0" w14:textId="77777777" w:rsidR="005C1585" w:rsidRDefault="005C1585"/>
    <w:p w14:paraId="6AD6B072" w14:textId="77777777" w:rsidR="005C1585" w:rsidRDefault="005C1585">
      <w:r>
        <w:t>Mediävistik als interdisziplinärer Forschungsgegenstand</w:t>
      </w:r>
    </w:p>
    <w:p w14:paraId="493BF61B" w14:textId="77777777" w:rsidR="000D42A3" w:rsidRDefault="000D42A3" w:rsidP="000D42A3"/>
    <w:p w14:paraId="1C5D4AD8" w14:textId="77777777" w:rsidR="000D42A3" w:rsidRDefault="000D42A3" w:rsidP="000D42A3"/>
    <w:p w14:paraId="420CFC90" w14:textId="77777777" w:rsidR="000D42A3" w:rsidRPr="00356DC0" w:rsidRDefault="000D42A3" w:rsidP="000D42A3">
      <w:pPr>
        <w:pStyle w:val="ListParagraph"/>
        <w:numPr>
          <w:ilvl w:val="0"/>
          <w:numId w:val="3"/>
        </w:numPr>
        <w:rPr>
          <w:b/>
        </w:rPr>
      </w:pPr>
      <w:r w:rsidRPr="00356DC0">
        <w:rPr>
          <w:b/>
        </w:rPr>
        <w:t>Wer macht Kultur?</w:t>
      </w:r>
    </w:p>
    <w:p w14:paraId="0741EDB8" w14:textId="77777777" w:rsidR="000D42A3" w:rsidRDefault="000D42A3"/>
    <w:p w14:paraId="07495150" w14:textId="77777777" w:rsidR="005C1585" w:rsidRDefault="005C1585">
      <w:r>
        <w:t>Ständeordnung:</w:t>
      </w:r>
    </w:p>
    <w:p w14:paraId="22C116A6" w14:textId="77777777" w:rsidR="005C1585" w:rsidRPr="005C1585" w:rsidRDefault="005C1585" w:rsidP="005C1585">
      <w:proofErr w:type="spellStart"/>
      <w:r w:rsidRPr="005C1585">
        <w:t>Got</w:t>
      </w:r>
      <w:proofErr w:type="spellEnd"/>
      <w:r w:rsidRPr="005C1585">
        <w:t xml:space="preserve"> </w:t>
      </w:r>
      <w:proofErr w:type="spellStart"/>
      <w:r w:rsidRPr="005C1585">
        <w:t>hât</w:t>
      </w:r>
      <w:proofErr w:type="spellEnd"/>
      <w:r w:rsidRPr="005C1585">
        <w:t xml:space="preserve"> </w:t>
      </w:r>
      <w:proofErr w:type="spellStart"/>
      <w:r w:rsidRPr="005C1585">
        <w:t>driu</w:t>
      </w:r>
      <w:proofErr w:type="spellEnd"/>
      <w:r w:rsidRPr="005C1585">
        <w:t xml:space="preserve"> leben geschaffen: </w:t>
      </w:r>
      <w:r w:rsidR="0040250C">
        <w:t xml:space="preserve">/ </w:t>
      </w:r>
      <w:proofErr w:type="spellStart"/>
      <w:r w:rsidRPr="005C1585">
        <w:t>gebûre</w:t>
      </w:r>
      <w:proofErr w:type="spellEnd"/>
      <w:r w:rsidRPr="005C1585">
        <w:t xml:space="preserve">, </w:t>
      </w:r>
      <w:proofErr w:type="spellStart"/>
      <w:r w:rsidRPr="005C1585">
        <w:t>ritter</w:t>
      </w:r>
      <w:proofErr w:type="spellEnd"/>
      <w:r w:rsidRPr="005C1585">
        <w:t xml:space="preserve"> </w:t>
      </w:r>
      <w:proofErr w:type="spellStart"/>
      <w:r w:rsidRPr="005C1585">
        <w:t>unde</w:t>
      </w:r>
      <w:proofErr w:type="spellEnd"/>
      <w:r w:rsidRPr="005C1585">
        <w:t xml:space="preserve"> </w:t>
      </w:r>
      <w:proofErr w:type="spellStart"/>
      <w:r w:rsidRPr="005C1585">
        <w:t>pfaffen</w:t>
      </w:r>
      <w:proofErr w:type="spellEnd"/>
      <w:r w:rsidRPr="005C1585">
        <w:t>.</w:t>
      </w:r>
    </w:p>
    <w:p w14:paraId="648E94B3" w14:textId="77777777" w:rsidR="005C1585" w:rsidRPr="005C1585" w:rsidRDefault="00356DC0" w:rsidP="005C1585">
      <w:r w:rsidRPr="005C1585">
        <w:t xml:space="preserve"> </w:t>
      </w:r>
      <w:r w:rsidR="005C1585" w:rsidRPr="005C1585">
        <w:t xml:space="preserve">(Freidanks Bescheidenheit, 27,1-2, hier zitiert nach </w:t>
      </w:r>
      <w:r w:rsidR="005C1585" w:rsidRPr="00356DC0">
        <w:rPr>
          <w:i/>
        </w:rPr>
        <w:t xml:space="preserve">Joachim Bumke: Höfische Kultur. Literatur und Gesellschaft im hohen Mittelalter, München: dtv, </w:t>
      </w:r>
      <w:r w:rsidR="005C1585" w:rsidRPr="00356DC0">
        <w:rPr>
          <w:i/>
          <w:vertAlign w:val="superscript"/>
        </w:rPr>
        <w:t>10</w:t>
      </w:r>
      <w:r w:rsidR="005C1585" w:rsidRPr="00356DC0">
        <w:rPr>
          <w:i/>
        </w:rPr>
        <w:t>2002, S. 39</w:t>
      </w:r>
      <w:r w:rsidR="005C1585" w:rsidRPr="005C1585">
        <w:t>)</w:t>
      </w:r>
    </w:p>
    <w:p w14:paraId="4CEB9249" w14:textId="77777777" w:rsidR="005C1585" w:rsidRDefault="005C1585"/>
    <w:p w14:paraId="0457CCA5" w14:textId="77777777" w:rsidR="005C1585" w:rsidRDefault="005C1585">
      <w:r>
        <w:t>Unterscheidung:</w:t>
      </w:r>
    </w:p>
    <w:p w14:paraId="37528C6A" w14:textId="77777777" w:rsidR="005C1585" w:rsidRPr="005C1585" w:rsidRDefault="005C1585" w:rsidP="005C1585">
      <w:r w:rsidRPr="005C1585">
        <w:rPr>
          <w:bCs/>
        </w:rPr>
        <w:t>Litterati</w:t>
      </w:r>
      <w:r w:rsidRPr="005C1585">
        <w:t xml:space="preserve"> = diejenigen, die Latein beherrschen (v. a. Klerus, geistlich Gebildete)</w:t>
      </w:r>
    </w:p>
    <w:p w14:paraId="74E19A5E" w14:textId="77777777" w:rsidR="005C1585" w:rsidRPr="005C1585" w:rsidRDefault="005C1585" w:rsidP="005C1585">
      <w:r w:rsidRPr="005C1585">
        <w:rPr>
          <w:bCs/>
        </w:rPr>
        <w:t>Illitterati</w:t>
      </w:r>
      <w:r w:rsidRPr="005C1585">
        <w:rPr>
          <w:b/>
          <w:bCs/>
        </w:rPr>
        <w:t xml:space="preserve"> </w:t>
      </w:r>
      <w:r w:rsidRPr="005C1585">
        <w:t>= diejenigen, die kein Latein beherrschen, sondern „nur“ die Volkssprache</w:t>
      </w:r>
    </w:p>
    <w:p w14:paraId="0DEBFC84" w14:textId="77777777" w:rsidR="005C1585" w:rsidRDefault="000D42A3">
      <w:r>
        <w:t>Latein ist die Bildungssprache des Mittelalters und die Sprache der Kirche</w:t>
      </w:r>
    </w:p>
    <w:p w14:paraId="31430AE0" w14:textId="77777777" w:rsidR="000D42A3" w:rsidRDefault="000D42A3"/>
    <w:p w14:paraId="740512AE" w14:textId="77777777" w:rsidR="005C1585" w:rsidRDefault="005C1585">
      <w:r>
        <w:t>Bildungsinhalte:</w:t>
      </w:r>
    </w:p>
    <w:p w14:paraId="01AA9F37" w14:textId="77777777" w:rsidR="005C1585" w:rsidRDefault="005C1585" w:rsidP="005C1585">
      <w:pPr>
        <w:jc w:val="both"/>
      </w:pPr>
      <w:r>
        <w:t>Trivium: (1) Grammatik; (2) Rhetorik; (3) Dialektik</w:t>
      </w:r>
    </w:p>
    <w:p w14:paraId="09AABA28" w14:textId="77777777" w:rsidR="005C1585" w:rsidRDefault="005C1585" w:rsidP="005C1585">
      <w:pPr>
        <w:jc w:val="both"/>
      </w:pPr>
      <w:r>
        <w:t>Quadrivium: (1) Arithmetik; (2) Musik; (3) Geometrie; (4) Astronomie</w:t>
      </w:r>
    </w:p>
    <w:p w14:paraId="75B43459" w14:textId="77777777" w:rsidR="005C1585" w:rsidRDefault="005C1585" w:rsidP="005C1585"/>
    <w:p w14:paraId="1D49246C" w14:textId="77777777" w:rsidR="005C1585" w:rsidRDefault="005C1585" w:rsidP="005C1585">
      <w:r>
        <w:t xml:space="preserve">Weltwahrnehmung: </w:t>
      </w:r>
    </w:p>
    <w:p w14:paraId="1A0715BC" w14:textId="77777777" w:rsidR="005C1585" w:rsidRDefault="005C1585" w:rsidP="005C1585">
      <w:pPr>
        <w:pStyle w:val="ListParagraph"/>
        <w:numPr>
          <w:ilvl w:val="0"/>
          <w:numId w:val="2"/>
        </w:numPr>
      </w:pPr>
      <w:r>
        <w:t xml:space="preserve">Beispiel Londoner </w:t>
      </w:r>
      <w:proofErr w:type="spellStart"/>
      <w:r>
        <w:t>Psalterkarte</w:t>
      </w:r>
      <w:proofErr w:type="spellEnd"/>
      <w:r>
        <w:t xml:space="preserve">, vgl. </w:t>
      </w:r>
    </w:p>
    <w:p w14:paraId="1CD98040" w14:textId="77777777" w:rsidR="005C1585" w:rsidRDefault="00584D72" w:rsidP="005C1585">
      <w:hyperlink r:id="rId6" w:anchor="/media/Datei:Psalter_world_map.jpg" w:history="1">
        <w:r w:rsidR="005C1585" w:rsidRPr="003A209A">
          <w:rPr>
            <w:rStyle w:val="Hyperlink"/>
          </w:rPr>
          <w:t>https://de.wikipedia.org/wiki/Londoner_Psalterkarte#/media/Datei:Psalter_world_map.jpg</w:t>
        </w:r>
      </w:hyperlink>
      <w:r w:rsidR="005C1585">
        <w:t xml:space="preserve"> </w:t>
      </w:r>
    </w:p>
    <w:p w14:paraId="5F19DE81" w14:textId="77777777" w:rsidR="005C1585" w:rsidRDefault="005C1585" w:rsidP="005C1585"/>
    <w:p w14:paraId="7E79F119" w14:textId="77777777" w:rsidR="005C1585" w:rsidRPr="005C1585" w:rsidRDefault="005C1585" w:rsidP="005C1585">
      <w:pPr>
        <w:pStyle w:val="ListParagraph"/>
        <w:numPr>
          <w:ilvl w:val="0"/>
          <w:numId w:val="2"/>
        </w:numPr>
      </w:pPr>
      <w:r>
        <w:t xml:space="preserve">Unterscheidung: </w:t>
      </w:r>
      <w:r w:rsidRPr="005C1585">
        <w:t>Bibel = Buch der Bücher, Natur = Buch der Welt</w:t>
      </w:r>
    </w:p>
    <w:p w14:paraId="27233E0D" w14:textId="77777777" w:rsidR="005C1585" w:rsidRPr="005C1585" w:rsidRDefault="005C1585" w:rsidP="005C1585">
      <w:r w:rsidRPr="005C1585">
        <w:t xml:space="preserve">„Das vermeintlich perspektivlose Mittelalter hat die eigene, ihm gemäße Art der Perspektive in der spirituellen Transparenz des Seienden. Sie ergibt sich in dem vom Irdischen sich lösenden Aufblick und Durchblick zur spirituellen Bedeutungswirklichkeit des im Kreatürlichen vorhandenen Zeichens. Sie ist Perspektive im wahrsten Sinne, indem sie durch das Sichtbare auf das Unsichtbare, durch das </w:t>
      </w:r>
      <w:proofErr w:type="spellStart"/>
      <w:r w:rsidRPr="005C1585">
        <w:t>Significans</w:t>
      </w:r>
      <w:proofErr w:type="spellEnd"/>
      <w:r w:rsidRPr="005C1585">
        <w:t xml:space="preserve"> auf das </w:t>
      </w:r>
      <w:proofErr w:type="spellStart"/>
      <w:r w:rsidRPr="005C1585">
        <w:t>Significatum</w:t>
      </w:r>
      <w:proofErr w:type="spellEnd"/>
      <w:r w:rsidRPr="005C1585">
        <w:t xml:space="preserve"> hindurchschaut.“</w:t>
      </w:r>
    </w:p>
    <w:p w14:paraId="0E1036D7" w14:textId="77777777" w:rsidR="005C1585" w:rsidRPr="005C1585" w:rsidRDefault="005C1585" w:rsidP="005C1585">
      <w:r>
        <w:rPr>
          <w:i/>
          <w:iCs/>
        </w:rPr>
        <w:t>(</w:t>
      </w:r>
      <w:r w:rsidRPr="005C1585">
        <w:rPr>
          <w:i/>
          <w:iCs/>
        </w:rPr>
        <w:t xml:space="preserve">Friedrich Ohly: Vom geistigen Sinn des Wortes im Mittelalter, in: </w:t>
      </w:r>
      <w:proofErr w:type="spellStart"/>
      <w:r w:rsidRPr="005C1585">
        <w:rPr>
          <w:i/>
          <w:iCs/>
        </w:rPr>
        <w:t>ders</w:t>
      </w:r>
      <w:proofErr w:type="spellEnd"/>
      <w:r w:rsidRPr="005C1585">
        <w:rPr>
          <w:i/>
          <w:iCs/>
        </w:rPr>
        <w:t>.: Schriften zur mittelalterlichen Bedeutungsforschung, Darmstadt: WBG, 1977 [zuerst 1958], S. 1–31, S. 15.</w:t>
      </w:r>
      <w:r>
        <w:rPr>
          <w:i/>
          <w:iCs/>
        </w:rPr>
        <w:t>)</w:t>
      </w:r>
    </w:p>
    <w:p w14:paraId="1F149FD6" w14:textId="77777777" w:rsidR="000D42A3" w:rsidRDefault="000D42A3" w:rsidP="000D42A3"/>
    <w:p w14:paraId="7544A463" w14:textId="77777777" w:rsidR="0040250C" w:rsidRDefault="0040250C" w:rsidP="000D42A3"/>
    <w:p w14:paraId="65636D63" w14:textId="77777777" w:rsidR="000D42A3" w:rsidRPr="00356DC0" w:rsidRDefault="000D42A3" w:rsidP="000D42A3">
      <w:pPr>
        <w:pStyle w:val="ListParagraph"/>
        <w:numPr>
          <w:ilvl w:val="0"/>
          <w:numId w:val="3"/>
        </w:numPr>
        <w:rPr>
          <w:b/>
        </w:rPr>
      </w:pPr>
      <w:r w:rsidRPr="00356DC0">
        <w:rPr>
          <w:b/>
        </w:rPr>
        <w:lastRenderedPageBreak/>
        <w:t xml:space="preserve">Höfische Kultur </w:t>
      </w:r>
    </w:p>
    <w:p w14:paraId="32685FE2" w14:textId="77777777" w:rsidR="000D42A3" w:rsidRDefault="000D42A3" w:rsidP="000D42A3"/>
    <w:p w14:paraId="693330AC" w14:textId="77777777" w:rsidR="000D42A3" w:rsidRDefault="000D42A3" w:rsidP="000D42A3">
      <w:r>
        <w:t>Kirche und Hof als kulturelle Zentren und Impulsgeber</w:t>
      </w:r>
    </w:p>
    <w:p w14:paraId="6BDF32F0" w14:textId="77777777" w:rsidR="000D42A3" w:rsidRDefault="000D42A3" w:rsidP="005C1585"/>
    <w:p w14:paraId="6CB21613" w14:textId="77777777" w:rsidR="000D42A3" w:rsidRDefault="000D42A3" w:rsidP="005C1585">
      <w:r>
        <w:t xml:space="preserve">Zentrale Termini: Höfisch, </w:t>
      </w:r>
      <w:proofErr w:type="spellStart"/>
      <w:r>
        <w:t>Âventiure</w:t>
      </w:r>
      <w:proofErr w:type="spellEnd"/>
      <w:r>
        <w:t xml:space="preserve">, </w:t>
      </w:r>
      <w:proofErr w:type="spellStart"/>
      <w:r>
        <w:t>hochgezît</w:t>
      </w:r>
      <w:proofErr w:type="spellEnd"/>
    </w:p>
    <w:p w14:paraId="0705BE88" w14:textId="77777777" w:rsidR="000D42A3" w:rsidRDefault="000D42A3" w:rsidP="005C1585"/>
    <w:p w14:paraId="026B22FA" w14:textId="77777777" w:rsidR="000D42A3" w:rsidRDefault="000D42A3" w:rsidP="005C1585">
      <w:r>
        <w:t>Festbeschreibung bei König Artus im Iwein:</w:t>
      </w:r>
    </w:p>
    <w:p w14:paraId="632993CE" w14:textId="77777777" w:rsidR="000D42A3" w:rsidRDefault="000D42A3" w:rsidP="005C1585"/>
    <w:tbl>
      <w:tblPr>
        <w:tblStyle w:val="TableGrid"/>
        <w:tblW w:w="0" w:type="auto"/>
        <w:tblLook w:val="04A0" w:firstRow="1" w:lastRow="0" w:firstColumn="1" w:lastColumn="0" w:noHBand="0" w:noVBand="1"/>
      </w:tblPr>
      <w:tblGrid>
        <w:gridCol w:w="4528"/>
        <w:gridCol w:w="4528"/>
      </w:tblGrid>
      <w:tr w:rsidR="000D42A3" w14:paraId="7E23835A" w14:textId="77777777" w:rsidTr="000D42A3">
        <w:tc>
          <w:tcPr>
            <w:tcW w:w="4528" w:type="dxa"/>
          </w:tcPr>
          <w:p w14:paraId="4D182E83" w14:textId="77777777" w:rsidR="000D42A3" w:rsidRDefault="000D42A3" w:rsidP="000D42A3">
            <w:pPr>
              <w:jc w:val="both"/>
            </w:pPr>
            <w:proofErr w:type="spellStart"/>
            <w:r>
              <w:t>Ez</w:t>
            </w:r>
            <w:proofErr w:type="spellEnd"/>
            <w:r>
              <w:t xml:space="preserve"> </w:t>
            </w:r>
            <w:proofErr w:type="spellStart"/>
            <w:r>
              <w:t>het</w:t>
            </w:r>
            <w:proofErr w:type="spellEnd"/>
            <w:r>
              <w:t xml:space="preserve"> der </w:t>
            </w:r>
            <w:proofErr w:type="spellStart"/>
            <w:r>
              <w:t>kunech</w:t>
            </w:r>
            <w:proofErr w:type="spellEnd"/>
            <w:r>
              <w:t xml:space="preserve"> </w:t>
            </w:r>
            <w:proofErr w:type="spellStart"/>
            <w:r>
              <w:t>Artûs</w:t>
            </w:r>
            <w:proofErr w:type="spellEnd"/>
          </w:p>
        </w:tc>
        <w:tc>
          <w:tcPr>
            <w:tcW w:w="4528" w:type="dxa"/>
          </w:tcPr>
          <w:p w14:paraId="33BD3EEB" w14:textId="77777777" w:rsidR="000D42A3" w:rsidRDefault="000D42A3" w:rsidP="005C1585">
            <w:proofErr w:type="spellStart"/>
            <w:r>
              <w:t>dise</w:t>
            </w:r>
            <w:proofErr w:type="spellEnd"/>
            <w:r>
              <w:t xml:space="preserve"> </w:t>
            </w:r>
            <w:proofErr w:type="spellStart"/>
            <w:r>
              <w:t>banechten</w:t>
            </w:r>
            <w:proofErr w:type="spellEnd"/>
            <w:r>
              <w:t xml:space="preserve"> den </w:t>
            </w:r>
            <w:proofErr w:type="spellStart"/>
            <w:r>
              <w:t>lîp</w:t>
            </w:r>
            <w:proofErr w:type="spellEnd"/>
            <w:r>
              <w:t>,</w:t>
            </w:r>
          </w:p>
        </w:tc>
      </w:tr>
      <w:tr w:rsidR="000D42A3" w14:paraId="5A8739CB" w14:textId="77777777" w:rsidTr="000D42A3">
        <w:tc>
          <w:tcPr>
            <w:tcW w:w="4528" w:type="dxa"/>
          </w:tcPr>
          <w:p w14:paraId="33730690" w14:textId="77777777" w:rsidR="000D42A3" w:rsidRDefault="000D42A3" w:rsidP="000D42A3">
            <w:pPr>
              <w:jc w:val="both"/>
            </w:pPr>
            <w:proofErr w:type="spellStart"/>
            <w:r>
              <w:t>ze</w:t>
            </w:r>
            <w:proofErr w:type="spellEnd"/>
            <w:r>
              <w:t xml:space="preserve"> </w:t>
            </w:r>
            <w:proofErr w:type="spellStart"/>
            <w:r>
              <w:t>Karidôl</w:t>
            </w:r>
            <w:proofErr w:type="spellEnd"/>
            <w:r>
              <w:t xml:space="preserve"> in </w:t>
            </w:r>
            <w:proofErr w:type="spellStart"/>
            <w:r>
              <w:t>sîn</w:t>
            </w:r>
            <w:proofErr w:type="spellEnd"/>
            <w:r>
              <w:t xml:space="preserve"> </w:t>
            </w:r>
            <w:proofErr w:type="spellStart"/>
            <w:r>
              <w:t>hûs</w:t>
            </w:r>
            <w:proofErr w:type="spellEnd"/>
          </w:p>
        </w:tc>
        <w:tc>
          <w:tcPr>
            <w:tcW w:w="4528" w:type="dxa"/>
          </w:tcPr>
          <w:p w14:paraId="5ECF8752" w14:textId="77777777" w:rsidR="000D42A3" w:rsidRDefault="000D42A3" w:rsidP="000D42A3">
            <w:pPr>
              <w:jc w:val="both"/>
            </w:pPr>
            <w:proofErr w:type="spellStart"/>
            <w:r>
              <w:t>dise</w:t>
            </w:r>
            <w:proofErr w:type="spellEnd"/>
            <w:r>
              <w:t xml:space="preserve"> tanzten, </w:t>
            </w:r>
            <w:proofErr w:type="spellStart"/>
            <w:r>
              <w:t>dise</w:t>
            </w:r>
            <w:proofErr w:type="spellEnd"/>
            <w:r>
              <w:t xml:space="preserve"> </w:t>
            </w:r>
            <w:proofErr w:type="spellStart"/>
            <w:r>
              <w:t>sungen</w:t>
            </w:r>
            <w:proofErr w:type="spellEnd"/>
            <w:r>
              <w:t>,</w:t>
            </w:r>
          </w:p>
        </w:tc>
      </w:tr>
      <w:tr w:rsidR="000D42A3" w14:paraId="1D5C9AF6" w14:textId="77777777" w:rsidTr="000D42A3">
        <w:tc>
          <w:tcPr>
            <w:tcW w:w="4528" w:type="dxa"/>
          </w:tcPr>
          <w:p w14:paraId="10C0F4E5" w14:textId="77777777" w:rsidR="000D42A3" w:rsidRDefault="000D42A3" w:rsidP="000D42A3">
            <w:pPr>
              <w:jc w:val="both"/>
            </w:pPr>
            <w:proofErr w:type="spellStart"/>
            <w:r>
              <w:t>zeinen</w:t>
            </w:r>
            <w:proofErr w:type="spellEnd"/>
            <w:r>
              <w:t xml:space="preserve"> </w:t>
            </w:r>
            <w:proofErr w:type="spellStart"/>
            <w:r>
              <w:t>pfingsten</w:t>
            </w:r>
            <w:proofErr w:type="spellEnd"/>
            <w:r>
              <w:t xml:space="preserve"> </w:t>
            </w:r>
            <w:proofErr w:type="spellStart"/>
            <w:r>
              <w:t>geleit</w:t>
            </w:r>
            <w:proofErr w:type="spellEnd"/>
          </w:p>
        </w:tc>
        <w:tc>
          <w:tcPr>
            <w:tcW w:w="4528" w:type="dxa"/>
          </w:tcPr>
          <w:p w14:paraId="557FA7FE" w14:textId="77777777" w:rsidR="000D42A3" w:rsidRDefault="000D42A3" w:rsidP="000D42A3">
            <w:pPr>
              <w:jc w:val="both"/>
            </w:pPr>
            <w:proofErr w:type="spellStart"/>
            <w:r>
              <w:t>dise</w:t>
            </w:r>
            <w:proofErr w:type="spellEnd"/>
            <w:r>
              <w:t xml:space="preserve"> </w:t>
            </w:r>
            <w:proofErr w:type="spellStart"/>
            <w:r>
              <w:t>lieffen</w:t>
            </w:r>
            <w:proofErr w:type="spellEnd"/>
            <w:r>
              <w:t xml:space="preserve">, </w:t>
            </w:r>
            <w:proofErr w:type="spellStart"/>
            <w:r>
              <w:t>dise</w:t>
            </w:r>
            <w:proofErr w:type="spellEnd"/>
            <w:r>
              <w:t xml:space="preserve"> </w:t>
            </w:r>
            <w:proofErr w:type="spellStart"/>
            <w:r>
              <w:t>sprungen</w:t>
            </w:r>
            <w:proofErr w:type="spellEnd"/>
            <w:r>
              <w:t>,</w:t>
            </w:r>
          </w:p>
        </w:tc>
      </w:tr>
      <w:tr w:rsidR="000D42A3" w14:paraId="01A23CFD" w14:textId="77777777" w:rsidTr="000D42A3">
        <w:tc>
          <w:tcPr>
            <w:tcW w:w="4528" w:type="dxa"/>
          </w:tcPr>
          <w:p w14:paraId="04B18120" w14:textId="77777777" w:rsidR="000D42A3" w:rsidRDefault="000D42A3" w:rsidP="000D42A3">
            <w:pPr>
              <w:jc w:val="both"/>
            </w:pPr>
            <w:proofErr w:type="spellStart"/>
            <w:r>
              <w:t>nâch</w:t>
            </w:r>
            <w:proofErr w:type="spellEnd"/>
            <w:r>
              <w:t xml:space="preserve"> </w:t>
            </w:r>
            <w:proofErr w:type="spellStart"/>
            <w:r>
              <w:t>rîcher</w:t>
            </w:r>
            <w:proofErr w:type="spellEnd"/>
            <w:r>
              <w:t xml:space="preserve"> </w:t>
            </w:r>
            <w:proofErr w:type="spellStart"/>
            <w:r>
              <w:t>gewonheit</w:t>
            </w:r>
            <w:proofErr w:type="spellEnd"/>
          </w:p>
        </w:tc>
        <w:tc>
          <w:tcPr>
            <w:tcW w:w="4528" w:type="dxa"/>
          </w:tcPr>
          <w:p w14:paraId="28B34D1E" w14:textId="77777777" w:rsidR="000D42A3" w:rsidRDefault="000D42A3" w:rsidP="000D42A3">
            <w:pPr>
              <w:jc w:val="both"/>
            </w:pPr>
            <w:proofErr w:type="spellStart"/>
            <w:r>
              <w:t>dise</w:t>
            </w:r>
            <w:proofErr w:type="spellEnd"/>
            <w:r>
              <w:t xml:space="preserve"> </w:t>
            </w:r>
            <w:proofErr w:type="spellStart"/>
            <w:r>
              <w:t>hôrten</w:t>
            </w:r>
            <w:proofErr w:type="spellEnd"/>
            <w:r>
              <w:t xml:space="preserve"> </w:t>
            </w:r>
            <w:proofErr w:type="spellStart"/>
            <w:r>
              <w:t>seitspil</w:t>
            </w:r>
            <w:proofErr w:type="spellEnd"/>
            <w:r>
              <w:t>,</w:t>
            </w:r>
          </w:p>
        </w:tc>
      </w:tr>
      <w:tr w:rsidR="000D42A3" w14:paraId="5768BF97" w14:textId="77777777" w:rsidTr="000D42A3">
        <w:tc>
          <w:tcPr>
            <w:tcW w:w="4528" w:type="dxa"/>
          </w:tcPr>
          <w:p w14:paraId="480A5528" w14:textId="77777777" w:rsidR="000D42A3" w:rsidRDefault="000D42A3" w:rsidP="000D42A3">
            <w:pPr>
              <w:jc w:val="both"/>
            </w:pPr>
            <w:r>
              <w:t xml:space="preserve">eine </w:t>
            </w:r>
            <w:proofErr w:type="spellStart"/>
            <w:r>
              <w:t>alsô</w:t>
            </w:r>
            <w:proofErr w:type="spellEnd"/>
            <w:r>
              <w:t xml:space="preserve"> </w:t>
            </w:r>
            <w:proofErr w:type="spellStart"/>
            <w:r>
              <w:t>schoene</w:t>
            </w:r>
            <w:proofErr w:type="spellEnd"/>
            <w:r>
              <w:t xml:space="preserve"> </w:t>
            </w:r>
            <w:proofErr w:type="spellStart"/>
            <w:r>
              <w:t>hôchzît</w:t>
            </w:r>
            <w:proofErr w:type="spellEnd"/>
          </w:p>
        </w:tc>
        <w:tc>
          <w:tcPr>
            <w:tcW w:w="4528" w:type="dxa"/>
          </w:tcPr>
          <w:p w14:paraId="4F71AF8E" w14:textId="77777777" w:rsidR="000D42A3" w:rsidRDefault="000D42A3" w:rsidP="000D42A3">
            <w:pPr>
              <w:jc w:val="both"/>
            </w:pPr>
            <w:proofErr w:type="spellStart"/>
            <w:r>
              <w:t>dise</w:t>
            </w:r>
            <w:proofErr w:type="spellEnd"/>
            <w:r>
              <w:t xml:space="preserve"> </w:t>
            </w:r>
            <w:proofErr w:type="spellStart"/>
            <w:r>
              <w:t>schuozzen</w:t>
            </w:r>
            <w:proofErr w:type="spellEnd"/>
            <w:r>
              <w:t xml:space="preserve"> </w:t>
            </w:r>
            <w:proofErr w:type="spellStart"/>
            <w:r>
              <w:t>zuo</w:t>
            </w:r>
            <w:proofErr w:type="spellEnd"/>
            <w:r>
              <w:t xml:space="preserve"> dem </w:t>
            </w:r>
            <w:proofErr w:type="spellStart"/>
            <w:r>
              <w:t>zil</w:t>
            </w:r>
            <w:proofErr w:type="spellEnd"/>
            <w:r>
              <w:t>,</w:t>
            </w:r>
          </w:p>
        </w:tc>
      </w:tr>
      <w:tr w:rsidR="000D42A3" w14:paraId="156F97F2" w14:textId="77777777" w:rsidTr="000D42A3">
        <w:tc>
          <w:tcPr>
            <w:tcW w:w="4528" w:type="dxa"/>
          </w:tcPr>
          <w:p w14:paraId="688AD7FF" w14:textId="77777777" w:rsidR="000D42A3" w:rsidRDefault="000D42A3" w:rsidP="000D42A3">
            <w:pPr>
              <w:jc w:val="both"/>
            </w:pPr>
            <w:proofErr w:type="spellStart"/>
            <w:r>
              <w:t>daz</w:t>
            </w:r>
            <w:proofErr w:type="spellEnd"/>
            <w:r>
              <w:t xml:space="preserve"> er </w:t>
            </w:r>
            <w:proofErr w:type="spellStart"/>
            <w:r>
              <w:t>dâ</w:t>
            </w:r>
            <w:proofErr w:type="spellEnd"/>
            <w:r>
              <w:t xml:space="preserve"> vor noch </w:t>
            </w:r>
            <w:proofErr w:type="spellStart"/>
            <w:r>
              <w:t>sît</w:t>
            </w:r>
            <w:proofErr w:type="spellEnd"/>
            <w:r>
              <w:t xml:space="preserve"> </w:t>
            </w:r>
          </w:p>
        </w:tc>
        <w:tc>
          <w:tcPr>
            <w:tcW w:w="4528" w:type="dxa"/>
          </w:tcPr>
          <w:p w14:paraId="318D512A" w14:textId="77777777" w:rsidR="000D42A3" w:rsidRDefault="000D42A3" w:rsidP="000D42A3">
            <w:pPr>
              <w:jc w:val="both"/>
            </w:pPr>
            <w:proofErr w:type="spellStart"/>
            <w:r>
              <w:t>dise</w:t>
            </w:r>
            <w:proofErr w:type="spellEnd"/>
            <w:r>
              <w:t xml:space="preserve"> </w:t>
            </w:r>
            <w:proofErr w:type="spellStart"/>
            <w:r>
              <w:t>redten</w:t>
            </w:r>
            <w:proofErr w:type="spellEnd"/>
            <w:r>
              <w:t xml:space="preserve"> von </w:t>
            </w:r>
            <w:proofErr w:type="spellStart"/>
            <w:r>
              <w:t>seneder</w:t>
            </w:r>
            <w:proofErr w:type="spellEnd"/>
            <w:r>
              <w:t xml:space="preserve"> </w:t>
            </w:r>
            <w:proofErr w:type="spellStart"/>
            <w:r>
              <w:t>arbeit</w:t>
            </w:r>
            <w:proofErr w:type="spellEnd"/>
            <w:r>
              <w:t>,</w:t>
            </w:r>
          </w:p>
        </w:tc>
      </w:tr>
      <w:tr w:rsidR="000D42A3" w14:paraId="035A0DFC" w14:textId="77777777" w:rsidTr="000D42A3">
        <w:tc>
          <w:tcPr>
            <w:tcW w:w="4528" w:type="dxa"/>
          </w:tcPr>
          <w:p w14:paraId="7524D0AA" w14:textId="77777777" w:rsidR="000D42A3" w:rsidRDefault="000D42A3" w:rsidP="000D42A3">
            <w:pPr>
              <w:jc w:val="both"/>
            </w:pPr>
            <w:proofErr w:type="spellStart"/>
            <w:r>
              <w:t>deheine</w:t>
            </w:r>
            <w:proofErr w:type="spellEnd"/>
            <w:r>
              <w:t xml:space="preserve"> </w:t>
            </w:r>
            <w:proofErr w:type="spellStart"/>
            <w:r>
              <w:t>schoener</w:t>
            </w:r>
            <w:proofErr w:type="spellEnd"/>
            <w:r>
              <w:t xml:space="preserve"> nie </w:t>
            </w:r>
            <w:proofErr w:type="spellStart"/>
            <w:r>
              <w:t>gewan</w:t>
            </w:r>
            <w:proofErr w:type="spellEnd"/>
            <w:r>
              <w:t xml:space="preserve">. […] </w:t>
            </w:r>
          </w:p>
        </w:tc>
        <w:tc>
          <w:tcPr>
            <w:tcW w:w="4528" w:type="dxa"/>
          </w:tcPr>
          <w:p w14:paraId="2065FAFA" w14:textId="77777777" w:rsidR="000D42A3" w:rsidRDefault="000D42A3" w:rsidP="000D42A3">
            <w:pPr>
              <w:jc w:val="both"/>
            </w:pPr>
            <w:proofErr w:type="spellStart"/>
            <w:r>
              <w:t>dise</w:t>
            </w:r>
            <w:proofErr w:type="spellEnd"/>
            <w:r>
              <w:t xml:space="preserve"> von </w:t>
            </w:r>
            <w:proofErr w:type="spellStart"/>
            <w:r>
              <w:t>manheit</w:t>
            </w:r>
            <w:proofErr w:type="spellEnd"/>
            <w:r>
              <w:t>.</w:t>
            </w:r>
          </w:p>
        </w:tc>
      </w:tr>
      <w:tr w:rsidR="000D42A3" w14:paraId="410878F0" w14:textId="77777777" w:rsidTr="000D42A3">
        <w:tc>
          <w:tcPr>
            <w:tcW w:w="4528" w:type="dxa"/>
          </w:tcPr>
          <w:p w14:paraId="30D722C3" w14:textId="77777777" w:rsidR="000D42A3" w:rsidRDefault="000D42A3" w:rsidP="000D42A3">
            <w:pPr>
              <w:jc w:val="both"/>
            </w:pPr>
            <w:proofErr w:type="spellStart"/>
            <w:r>
              <w:t>dô</w:t>
            </w:r>
            <w:proofErr w:type="spellEnd"/>
            <w:r>
              <w:t xml:space="preserve"> man des </w:t>
            </w:r>
            <w:proofErr w:type="spellStart"/>
            <w:r>
              <w:t>pfingestages</w:t>
            </w:r>
            <w:proofErr w:type="spellEnd"/>
            <w:r>
              <w:t xml:space="preserve"> </w:t>
            </w:r>
            <w:proofErr w:type="spellStart"/>
            <w:r>
              <w:t>enbeiz</w:t>
            </w:r>
            <w:proofErr w:type="spellEnd"/>
            <w:r>
              <w:t>,</w:t>
            </w:r>
          </w:p>
        </w:tc>
        <w:tc>
          <w:tcPr>
            <w:tcW w:w="4528" w:type="dxa"/>
          </w:tcPr>
          <w:p w14:paraId="485D5EBE" w14:textId="77777777" w:rsidR="000D42A3" w:rsidRDefault="000D42A3" w:rsidP="000D42A3">
            <w:pPr>
              <w:jc w:val="both"/>
            </w:pPr>
            <w:proofErr w:type="spellStart"/>
            <w:r>
              <w:t>Gâwein</w:t>
            </w:r>
            <w:proofErr w:type="spellEnd"/>
            <w:r>
              <w:t xml:space="preserve"> </w:t>
            </w:r>
            <w:proofErr w:type="spellStart"/>
            <w:r>
              <w:t>ahte</w:t>
            </w:r>
            <w:proofErr w:type="spellEnd"/>
            <w:r>
              <w:t xml:space="preserve"> </w:t>
            </w:r>
            <w:proofErr w:type="spellStart"/>
            <w:r>
              <w:t>umbe</w:t>
            </w:r>
            <w:proofErr w:type="spellEnd"/>
            <w:r>
              <w:t xml:space="preserve"> </w:t>
            </w:r>
            <w:proofErr w:type="spellStart"/>
            <w:r>
              <w:t>wâfen</w:t>
            </w:r>
            <w:proofErr w:type="spellEnd"/>
            <w:r>
              <w:t>,</w:t>
            </w:r>
          </w:p>
        </w:tc>
      </w:tr>
      <w:tr w:rsidR="000D42A3" w14:paraId="37379045" w14:textId="77777777" w:rsidTr="000D42A3">
        <w:tc>
          <w:tcPr>
            <w:tcW w:w="4528" w:type="dxa"/>
          </w:tcPr>
          <w:p w14:paraId="7D1467D3" w14:textId="77777777" w:rsidR="000D42A3" w:rsidRDefault="000D42A3" w:rsidP="000D42A3">
            <w:pPr>
              <w:jc w:val="both"/>
            </w:pPr>
            <w:proofErr w:type="spellStart"/>
            <w:r>
              <w:t>maenneclîch</w:t>
            </w:r>
            <w:proofErr w:type="spellEnd"/>
            <w:r>
              <w:t xml:space="preserve"> im die </w:t>
            </w:r>
            <w:proofErr w:type="spellStart"/>
            <w:r>
              <w:t>freude</w:t>
            </w:r>
            <w:proofErr w:type="spellEnd"/>
            <w:r>
              <w:t xml:space="preserve"> </w:t>
            </w:r>
            <w:proofErr w:type="spellStart"/>
            <w:r>
              <w:t>nam</w:t>
            </w:r>
            <w:proofErr w:type="spellEnd"/>
            <w:r>
              <w:t>,</w:t>
            </w:r>
          </w:p>
        </w:tc>
        <w:tc>
          <w:tcPr>
            <w:tcW w:w="4528" w:type="dxa"/>
          </w:tcPr>
          <w:p w14:paraId="12E0054A" w14:textId="77777777" w:rsidR="000D42A3" w:rsidRDefault="000D42A3" w:rsidP="000D42A3">
            <w:pPr>
              <w:jc w:val="both"/>
            </w:pPr>
            <w:r>
              <w:t xml:space="preserve">Key legte sich </w:t>
            </w:r>
            <w:proofErr w:type="spellStart"/>
            <w:r>
              <w:t>slâfen</w:t>
            </w:r>
            <w:proofErr w:type="spellEnd"/>
          </w:p>
        </w:tc>
      </w:tr>
      <w:tr w:rsidR="000D42A3" w14:paraId="5058C663" w14:textId="77777777" w:rsidTr="000D42A3">
        <w:tc>
          <w:tcPr>
            <w:tcW w:w="4528" w:type="dxa"/>
          </w:tcPr>
          <w:p w14:paraId="69A67D3B" w14:textId="77777777" w:rsidR="000D42A3" w:rsidRDefault="000D42A3" w:rsidP="000D42A3">
            <w:pPr>
              <w:jc w:val="both"/>
            </w:pPr>
            <w:r>
              <w:t xml:space="preserve">der in </w:t>
            </w:r>
            <w:proofErr w:type="spellStart"/>
            <w:r>
              <w:t>dô</w:t>
            </w:r>
            <w:proofErr w:type="spellEnd"/>
            <w:r>
              <w:t xml:space="preserve"> aller beste </w:t>
            </w:r>
            <w:proofErr w:type="spellStart"/>
            <w:r>
              <w:t>gezam</w:t>
            </w:r>
            <w:proofErr w:type="spellEnd"/>
            <w:r>
              <w:t>:</w:t>
            </w:r>
          </w:p>
        </w:tc>
        <w:tc>
          <w:tcPr>
            <w:tcW w:w="4528" w:type="dxa"/>
          </w:tcPr>
          <w:p w14:paraId="331F3C4B" w14:textId="77777777" w:rsidR="000D42A3" w:rsidRDefault="000D42A3" w:rsidP="000D42A3">
            <w:pPr>
              <w:jc w:val="both"/>
            </w:pPr>
            <w:proofErr w:type="spellStart"/>
            <w:r>
              <w:t>ûf</w:t>
            </w:r>
            <w:proofErr w:type="spellEnd"/>
            <w:r>
              <w:t xml:space="preserve"> den </w:t>
            </w:r>
            <w:proofErr w:type="spellStart"/>
            <w:r>
              <w:t>sal</w:t>
            </w:r>
            <w:proofErr w:type="spellEnd"/>
            <w:r>
              <w:t xml:space="preserve"> </w:t>
            </w:r>
            <w:proofErr w:type="spellStart"/>
            <w:r>
              <w:t>under</w:t>
            </w:r>
            <w:proofErr w:type="spellEnd"/>
            <w:r>
              <w:t xml:space="preserve"> in,</w:t>
            </w:r>
          </w:p>
        </w:tc>
      </w:tr>
      <w:tr w:rsidR="000D42A3" w14:paraId="1D48DD86" w14:textId="77777777" w:rsidTr="000D42A3">
        <w:tc>
          <w:tcPr>
            <w:tcW w:w="4528" w:type="dxa"/>
          </w:tcPr>
          <w:p w14:paraId="78BFA631" w14:textId="77777777" w:rsidR="000D42A3" w:rsidRDefault="000D42A3" w:rsidP="000D42A3">
            <w:pPr>
              <w:jc w:val="both"/>
            </w:pPr>
            <w:proofErr w:type="spellStart"/>
            <w:r>
              <w:t>dise</w:t>
            </w:r>
            <w:proofErr w:type="spellEnd"/>
            <w:r>
              <w:t xml:space="preserve"> sprachen wider </w:t>
            </w:r>
            <w:proofErr w:type="spellStart"/>
            <w:r>
              <w:t>diu</w:t>
            </w:r>
            <w:proofErr w:type="spellEnd"/>
            <w:r>
              <w:t xml:space="preserve"> </w:t>
            </w:r>
            <w:proofErr w:type="spellStart"/>
            <w:r>
              <w:t>wîp</w:t>
            </w:r>
            <w:proofErr w:type="spellEnd"/>
            <w:r>
              <w:t>,</w:t>
            </w:r>
          </w:p>
        </w:tc>
        <w:tc>
          <w:tcPr>
            <w:tcW w:w="4528" w:type="dxa"/>
          </w:tcPr>
          <w:p w14:paraId="6B57AB05" w14:textId="77777777" w:rsidR="000D42A3" w:rsidRDefault="000D42A3" w:rsidP="000D42A3">
            <w:pPr>
              <w:jc w:val="both"/>
            </w:pPr>
            <w:proofErr w:type="spellStart"/>
            <w:r>
              <w:t>ze</w:t>
            </w:r>
            <w:proofErr w:type="spellEnd"/>
            <w:r>
              <w:t xml:space="preserve"> gemache </w:t>
            </w:r>
            <w:proofErr w:type="spellStart"/>
            <w:r>
              <w:t>âne</w:t>
            </w:r>
            <w:proofErr w:type="spellEnd"/>
            <w:r>
              <w:t xml:space="preserve"> </w:t>
            </w:r>
            <w:proofErr w:type="spellStart"/>
            <w:r>
              <w:t>êre</w:t>
            </w:r>
            <w:proofErr w:type="spellEnd"/>
            <w:r>
              <w:t xml:space="preserve"> </w:t>
            </w:r>
            <w:proofErr w:type="spellStart"/>
            <w:r>
              <w:t>stuont</w:t>
            </w:r>
            <w:proofErr w:type="spellEnd"/>
            <w:r>
              <w:t xml:space="preserve"> </w:t>
            </w:r>
            <w:proofErr w:type="spellStart"/>
            <w:r>
              <w:t>sîn</w:t>
            </w:r>
            <w:proofErr w:type="spellEnd"/>
            <w:r>
              <w:t xml:space="preserve"> sin.</w:t>
            </w:r>
          </w:p>
        </w:tc>
      </w:tr>
    </w:tbl>
    <w:p w14:paraId="0F671727" w14:textId="77777777" w:rsidR="000D42A3" w:rsidRPr="000D42A3" w:rsidRDefault="000D42A3" w:rsidP="000D42A3">
      <w:pPr>
        <w:jc w:val="both"/>
      </w:pPr>
    </w:p>
    <w:p w14:paraId="00EFF2DC" w14:textId="77777777" w:rsidR="000D42A3" w:rsidRDefault="000D42A3" w:rsidP="000D42A3">
      <w:pPr>
        <w:jc w:val="both"/>
      </w:pPr>
      <w:r>
        <w:rPr>
          <w:i/>
        </w:rPr>
        <w:t xml:space="preserve">(Hartmann von Aue: Iwein. Mhd./Nhd., </w:t>
      </w:r>
      <w:proofErr w:type="spellStart"/>
      <w:r>
        <w:rPr>
          <w:i/>
        </w:rPr>
        <w:t>hg</w:t>
      </w:r>
      <w:proofErr w:type="spellEnd"/>
      <w:r>
        <w:rPr>
          <w:i/>
        </w:rPr>
        <w:t>. u. übers. v. Rüdiger Krohn, Stuttgart: Reclam, 2011, V. 31-37 &amp; 63-76)</w:t>
      </w:r>
    </w:p>
    <w:p w14:paraId="1044A489" w14:textId="77777777" w:rsidR="000D42A3" w:rsidRDefault="000D42A3" w:rsidP="000D42A3"/>
    <w:p w14:paraId="3468E19B" w14:textId="77777777" w:rsidR="000D42A3" w:rsidRDefault="000D42A3" w:rsidP="000D42A3">
      <w:r>
        <w:t>Literatur greift gesellschaftliche Elemente (Fest, Rittertum, Bewährung</w:t>
      </w:r>
      <w:r w:rsidR="00356DC0">
        <w:t>, Außendarstellung in einer Kultur der Präsenz und Sichtbarkeit) auf und funktionalisiert sie neu</w:t>
      </w:r>
    </w:p>
    <w:p w14:paraId="36A3C160" w14:textId="77777777" w:rsidR="00356DC0" w:rsidRDefault="00356DC0" w:rsidP="000D42A3"/>
    <w:p w14:paraId="433E5BB3" w14:textId="77777777" w:rsidR="00356DC0" w:rsidRDefault="00356DC0" w:rsidP="000D42A3">
      <w:r>
        <w:t xml:space="preserve">Mittelalterliche Kultur folgt eigenen „Spielregeln“, </w:t>
      </w:r>
      <w:r w:rsidR="0040250C">
        <w:t>welche auch die Literatur produktiv macht</w:t>
      </w:r>
    </w:p>
    <w:p w14:paraId="4A50BFB0" w14:textId="77777777" w:rsidR="00356DC0" w:rsidRDefault="00356DC0" w:rsidP="000D42A3"/>
    <w:p w14:paraId="16D69EBA" w14:textId="77777777" w:rsidR="00356DC0" w:rsidRPr="00356DC0" w:rsidRDefault="00356DC0" w:rsidP="000D42A3">
      <w:pPr>
        <w:rPr>
          <w:b/>
        </w:rPr>
      </w:pPr>
      <w:r w:rsidRPr="00356DC0">
        <w:rPr>
          <w:b/>
        </w:rPr>
        <w:t>Zusätzliche Literatur</w:t>
      </w:r>
    </w:p>
    <w:p w14:paraId="42940C9A" w14:textId="77777777" w:rsidR="00356DC0" w:rsidRDefault="00356DC0" w:rsidP="000D42A3"/>
    <w:p w14:paraId="44B45147" w14:textId="77777777" w:rsidR="00356DC0" w:rsidRDefault="00356DC0" w:rsidP="000D42A3">
      <w:pPr>
        <w:rPr>
          <w:i/>
          <w:iCs/>
        </w:rPr>
      </w:pPr>
      <w:r w:rsidRPr="00356DC0">
        <w:rPr>
          <w:i/>
          <w:iCs/>
        </w:rPr>
        <w:t>Thomas Bauer: Warum es kein islamisches Mittelalter gab. Das Erbe der Antike und der Orient, München: Beck, 2018</w:t>
      </w:r>
      <w:r>
        <w:rPr>
          <w:i/>
          <w:iCs/>
        </w:rPr>
        <w:t>.</w:t>
      </w:r>
    </w:p>
    <w:p w14:paraId="549EE8C2" w14:textId="77777777" w:rsidR="00356DC0" w:rsidRDefault="00356DC0" w:rsidP="000D42A3"/>
    <w:p w14:paraId="6F543DC1" w14:textId="77777777" w:rsidR="00356DC0" w:rsidRPr="00356DC0" w:rsidRDefault="00356DC0" w:rsidP="000D42A3">
      <w:pPr>
        <w:rPr>
          <w:i/>
        </w:rPr>
      </w:pPr>
      <w:r>
        <w:rPr>
          <w:i/>
        </w:rPr>
        <w:t xml:space="preserve">Beate Hennig: Kleines mittelhochdeutsches Wörterbuch, Berlin: de Gruyter, </w:t>
      </w:r>
      <w:r>
        <w:rPr>
          <w:i/>
          <w:vertAlign w:val="superscript"/>
        </w:rPr>
        <w:t>7</w:t>
      </w:r>
      <w:r>
        <w:rPr>
          <w:i/>
        </w:rPr>
        <w:t>2020.</w:t>
      </w:r>
    </w:p>
    <w:p w14:paraId="0DD208CE" w14:textId="77777777" w:rsidR="00356DC0" w:rsidRDefault="00356DC0" w:rsidP="000D42A3"/>
    <w:p w14:paraId="4DA88BB2" w14:textId="77777777" w:rsidR="00356DC0" w:rsidRDefault="00356DC0" w:rsidP="000D42A3">
      <w:pPr>
        <w:rPr>
          <w:i/>
          <w:iCs/>
        </w:rPr>
      </w:pPr>
      <w:proofErr w:type="spellStart"/>
      <w:r w:rsidRPr="00356DC0">
        <w:rPr>
          <w:i/>
          <w:iCs/>
        </w:rPr>
        <w:t>Hilkert</w:t>
      </w:r>
      <w:proofErr w:type="spellEnd"/>
      <w:r w:rsidRPr="00356DC0">
        <w:rPr>
          <w:i/>
          <w:iCs/>
        </w:rPr>
        <w:t xml:space="preserve"> </w:t>
      </w:r>
      <w:proofErr w:type="spellStart"/>
      <w:r w:rsidRPr="00356DC0">
        <w:rPr>
          <w:i/>
          <w:iCs/>
        </w:rPr>
        <w:t>Weddige</w:t>
      </w:r>
      <w:proofErr w:type="spellEnd"/>
      <w:r w:rsidRPr="00356DC0">
        <w:rPr>
          <w:i/>
          <w:iCs/>
        </w:rPr>
        <w:t xml:space="preserve">: Einführung in die germanistische Mediävistik, München: Beck, </w:t>
      </w:r>
      <w:r w:rsidRPr="00356DC0">
        <w:rPr>
          <w:i/>
          <w:iCs/>
          <w:vertAlign w:val="superscript"/>
        </w:rPr>
        <w:t>7</w:t>
      </w:r>
      <w:r w:rsidRPr="00356DC0">
        <w:rPr>
          <w:i/>
          <w:iCs/>
        </w:rPr>
        <w:t>2008</w:t>
      </w:r>
      <w:r>
        <w:rPr>
          <w:i/>
          <w:iCs/>
        </w:rPr>
        <w:t>.</w:t>
      </w:r>
    </w:p>
    <w:p w14:paraId="560402BB" w14:textId="77777777" w:rsidR="00356DC0" w:rsidRDefault="00356DC0" w:rsidP="000D42A3"/>
    <w:p w14:paraId="72E99C51" w14:textId="77777777" w:rsidR="00356DC0" w:rsidRPr="00356DC0" w:rsidRDefault="00356DC0" w:rsidP="000D42A3">
      <w:pPr>
        <w:rPr>
          <w:b/>
        </w:rPr>
      </w:pPr>
      <w:r w:rsidRPr="00356DC0">
        <w:rPr>
          <w:b/>
        </w:rPr>
        <w:t>Nachtrag zur Rhetorik:</w:t>
      </w:r>
    </w:p>
    <w:p w14:paraId="071ECE35" w14:textId="77777777" w:rsidR="00356DC0" w:rsidRDefault="00356DC0" w:rsidP="000D42A3"/>
    <w:p w14:paraId="43D9879E" w14:textId="77777777" w:rsidR="00356DC0" w:rsidRDefault="00356DC0" w:rsidP="000D42A3">
      <w:r>
        <w:t>Eine gut lesbare (und auch für die NDL sehr brauchbare) Einführung mit vielen Beispielen bieten:</w:t>
      </w:r>
    </w:p>
    <w:p w14:paraId="0B34935D" w14:textId="77777777" w:rsidR="00356DC0" w:rsidRPr="00356DC0" w:rsidRDefault="00356DC0" w:rsidP="000D42A3">
      <w:pPr>
        <w:rPr>
          <w:i/>
        </w:rPr>
      </w:pPr>
      <w:r>
        <w:rPr>
          <w:i/>
        </w:rPr>
        <w:t xml:space="preserve">Gert </w:t>
      </w:r>
      <w:proofErr w:type="spellStart"/>
      <w:r>
        <w:rPr>
          <w:i/>
        </w:rPr>
        <w:t>Ueding</w:t>
      </w:r>
      <w:proofErr w:type="spellEnd"/>
      <w:r>
        <w:rPr>
          <w:i/>
        </w:rPr>
        <w:t xml:space="preserve">/Bernd Steinbrink: </w:t>
      </w:r>
      <w:proofErr w:type="spellStart"/>
      <w:r>
        <w:rPr>
          <w:i/>
        </w:rPr>
        <w:t>Grundriß</w:t>
      </w:r>
      <w:proofErr w:type="spellEnd"/>
      <w:r>
        <w:rPr>
          <w:i/>
        </w:rPr>
        <w:t xml:space="preserve"> der Rhetorik: Geschichte – Technik - Methodik, Stuttgart/Weimar: Metzler, </w:t>
      </w:r>
      <w:r>
        <w:rPr>
          <w:i/>
          <w:vertAlign w:val="superscript"/>
        </w:rPr>
        <w:t>5</w:t>
      </w:r>
      <w:r>
        <w:rPr>
          <w:i/>
        </w:rPr>
        <w:t xml:space="preserve">2011, im </w:t>
      </w:r>
      <w:proofErr w:type="spellStart"/>
      <w:r>
        <w:rPr>
          <w:i/>
        </w:rPr>
        <w:t>Uninetz</w:t>
      </w:r>
      <w:proofErr w:type="spellEnd"/>
      <w:r>
        <w:rPr>
          <w:i/>
        </w:rPr>
        <w:t xml:space="preserve"> digital verfügbar unter </w:t>
      </w:r>
      <w:hyperlink r:id="rId7" w:history="1">
        <w:r w:rsidRPr="003A209A">
          <w:rPr>
            <w:rStyle w:val="Hyperlink"/>
            <w:i/>
          </w:rPr>
          <w:t>https://www.redi-bw.de/start/unifr/EBooks-springer/10.1007/978-3-476-00726-1</w:t>
        </w:r>
      </w:hyperlink>
      <w:r>
        <w:rPr>
          <w:i/>
        </w:rPr>
        <w:t xml:space="preserve"> </w:t>
      </w:r>
    </w:p>
    <w:sectPr w:rsidR="00356DC0" w:rsidRPr="00356DC0" w:rsidSect="0099297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C41DA"/>
    <w:multiLevelType w:val="hybridMultilevel"/>
    <w:tmpl w:val="D9C4EC5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8020D1"/>
    <w:multiLevelType w:val="hybridMultilevel"/>
    <w:tmpl w:val="56C6415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A4C6BF8"/>
    <w:multiLevelType w:val="hybridMultilevel"/>
    <w:tmpl w:val="56C6415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F7F0E22"/>
    <w:multiLevelType w:val="hybridMultilevel"/>
    <w:tmpl w:val="5A5865A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8980289">
    <w:abstractNumId w:val="0"/>
  </w:num>
  <w:num w:numId="2" w16cid:durableId="765611884">
    <w:abstractNumId w:val="3"/>
  </w:num>
  <w:num w:numId="3" w16cid:durableId="1455906781">
    <w:abstractNumId w:val="1"/>
  </w:num>
  <w:num w:numId="4" w16cid:durableId="117455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585"/>
    <w:rsid w:val="000505E6"/>
    <w:rsid w:val="000D42A3"/>
    <w:rsid w:val="00133118"/>
    <w:rsid w:val="00205EB7"/>
    <w:rsid w:val="002A5A9E"/>
    <w:rsid w:val="00356DC0"/>
    <w:rsid w:val="00375D3E"/>
    <w:rsid w:val="0040250C"/>
    <w:rsid w:val="00474962"/>
    <w:rsid w:val="004D3C8B"/>
    <w:rsid w:val="00584D72"/>
    <w:rsid w:val="005C1585"/>
    <w:rsid w:val="0099297C"/>
    <w:rsid w:val="00D21234"/>
    <w:rsid w:val="00FC32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9C21"/>
  <w14:defaultImageDpi w14:val="32767"/>
  <w15:chartTrackingRefBased/>
  <w15:docId w15:val="{90E4935D-A573-1E48-8AFF-2F8683EC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585"/>
    <w:rPr>
      <w:color w:val="0563C1" w:themeColor="hyperlink"/>
      <w:u w:val="single"/>
    </w:rPr>
  </w:style>
  <w:style w:type="character" w:styleId="UnresolvedMention">
    <w:name w:val="Unresolved Mention"/>
    <w:basedOn w:val="DefaultParagraphFont"/>
    <w:uiPriority w:val="99"/>
    <w:rsid w:val="005C1585"/>
    <w:rPr>
      <w:color w:val="605E5C"/>
      <w:shd w:val="clear" w:color="auto" w:fill="E1DFDD"/>
    </w:rPr>
  </w:style>
  <w:style w:type="paragraph" w:styleId="NormalWeb">
    <w:name w:val="Normal (Web)"/>
    <w:basedOn w:val="Normal"/>
    <w:uiPriority w:val="99"/>
    <w:semiHidden/>
    <w:unhideWhenUsed/>
    <w:rsid w:val="005C1585"/>
    <w:pPr>
      <w:spacing w:before="100" w:beforeAutospacing="1" w:after="100" w:afterAutospacing="1"/>
    </w:pPr>
    <w:rPr>
      <w:rFonts w:eastAsia="Times New Roman" w:cs="Times New Roman"/>
      <w:lang w:eastAsia="de-DE"/>
    </w:rPr>
  </w:style>
  <w:style w:type="paragraph" w:styleId="ListParagraph">
    <w:name w:val="List Paragraph"/>
    <w:basedOn w:val="Normal"/>
    <w:uiPriority w:val="34"/>
    <w:qFormat/>
    <w:rsid w:val="005C1585"/>
    <w:pPr>
      <w:ind w:left="720"/>
      <w:contextualSpacing/>
    </w:pPr>
  </w:style>
  <w:style w:type="table" w:styleId="TableGrid">
    <w:name w:val="Table Grid"/>
    <w:basedOn w:val="TableNormal"/>
    <w:uiPriority w:val="39"/>
    <w:rsid w:val="000D4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165025">
      <w:bodyDiv w:val="1"/>
      <w:marLeft w:val="0"/>
      <w:marRight w:val="0"/>
      <w:marTop w:val="0"/>
      <w:marBottom w:val="0"/>
      <w:divBdr>
        <w:top w:val="none" w:sz="0" w:space="0" w:color="auto"/>
        <w:left w:val="none" w:sz="0" w:space="0" w:color="auto"/>
        <w:bottom w:val="none" w:sz="0" w:space="0" w:color="auto"/>
        <w:right w:val="none" w:sz="0" w:space="0" w:color="auto"/>
      </w:divBdr>
    </w:div>
    <w:div w:id="362052820">
      <w:bodyDiv w:val="1"/>
      <w:marLeft w:val="0"/>
      <w:marRight w:val="0"/>
      <w:marTop w:val="0"/>
      <w:marBottom w:val="0"/>
      <w:divBdr>
        <w:top w:val="none" w:sz="0" w:space="0" w:color="auto"/>
        <w:left w:val="none" w:sz="0" w:space="0" w:color="auto"/>
        <w:bottom w:val="none" w:sz="0" w:space="0" w:color="auto"/>
        <w:right w:val="none" w:sz="0" w:space="0" w:color="auto"/>
      </w:divBdr>
    </w:div>
    <w:div w:id="819924792">
      <w:bodyDiv w:val="1"/>
      <w:marLeft w:val="0"/>
      <w:marRight w:val="0"/>
      <w:marTop w:val="0"/>
      <w:marBottom w:val="0"/>
      <w:divBdr>
        <w:top w:val="none" w:sz="0" w:space="0" w:color="auto"/>
        <w:left w:val="none" w:sz="0" w:space="0" w:color="auto"/>
        <w:bottom w:val="none" w:sz="0" w:space="0" w:color="auto"/>
        <w:right w:val="none" w:sz="0" w:space="0" w:color="auto"/>
      </w:divBdr>
    </w:div>
    <w:div w:id="1124272355">
      <w:bodyDiv w:val="1"/>
      <w:marLeft w:val="0"/>
      <w:marRight w:val="0"/>
      <w:marTop w:val="0"/>
      <w:marBottom w:val="0"/>
      <w:divBdr>
        <w:top w:val="none" w:sz="0" w:space="0" w:color="auto"/>
        <w:left w:val="none" w:sz="0" w:space="0" w:color="auto"/>
        <w:bottom w:val="none" w:sz="0" w:space="0" w:color="auto"/>
        <w:right w:val="none" w:sz="0" w:space="0" w:color="auto"/>
      </w:divBdr>
    </w:div>
    <w:div w:id="1706447085">
      <w:bodyDiv w:val="1"/>
      <w:marLeft w:val="0"/>
      <w:marRight w:val="0"/>
      <w:marTop w:val="0"/>
      <w:marBottom w:val="0"/>
      <w:divBdr>
        <w:top w:val="none" w:sz="0" w:space="0" w:color="auto"/>
        <w:left w:val="none" w:sz="0" w:space="0" w:color="auto"/>
        <w:bottom w:val="none" w:sz="0" w:space="0" w:color="auto"/>
        <w:right w:val="none" w:sz="0" w:space="0" w:color="auto"/>
      </w:divBdr>
    </w:div>
    <w:div w:id="187468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di-bw.de/start/unifr/EBooks-springer/10.1007/978-3-476-0072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wikipedia.org/wiki/Londoner_Psalterkarte" TargetMode="External"/><Relationship Id="rId5" Type="http://schemas.openxmlformats.org/officeDocument/2006/relationships/hyperlink" Target="mailto:stefan.seeber@germanistik.uni-freiburg.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3730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Seeber</dc:creator>
  <cp:keywords/>
  <dc:description/>
  <cp:lastModifiedBy>Volker Ehler</cp:lastModifiedBy>
  <cp:revision>2</cp:revision>
  <dcterms:created xsi:type="dcterms:W3CDTF">2023-10-23T17:52:00Z</dcterms:created>
  <dcterms:modified xsi:type="dcterms:W3CDTF">2023-10-23T17:52:00Z</dcterms:modified>
</cp:coreProperties>
</file>