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79C23" w14:textId="4AB87EC0" w:rsidR="0095577A" w:rsidRDefault="00FB48A9" w:rsidP="00FB48A9">
      <w:pPr>
        <w:jc w:val="center"/>
        <w:rPr>
          <w:b/>
          <w:bCs/>
          <w:sz w:val="44"/>
          <w:szCs w:val="44"/>
        </w:rPr>
      </w:pPr>
      <w:r w:rsidRPr="00FB48A9">
        <w:rPr>
          <w:b/>
          <w:bCs/>
          <w:sz w:val="44"/>
          <w:szCs w:val="44"/>
        </w:rPr>
        <w:t>Glossar</w:t>
      </w:r>
    </w:p>
    <w:p w14:paraId="2CACEDD0" w14:textId="57A8002B" w:rsidR="00FB48A9" w:rsidRPr="00FB48A9" w:rsidRDefault="00FB48A9" w:rsidP="00FB48A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Was ist Sprache</w:t>
      </w:r>
    </w:p>
    <w:p w14:paraId="7384BB65" w14:textId="028E5A17" w:rsidR="00FB48A9" w:rsidRDefault="00FB48A9" w:rsidP="00FB48A9">
      <w:pPr>
        <w:ind w:left="3540" w:hanging="3540"/>
        <w:jc w:val="both"/>
      </w:pPr>
      <w:r>
        <w:t>Sapir-Whorf-Hypothese:</w:t>
      </w:r>
      <w:r>
        <w:tab/>
        <w:t xml:space="preserve">Umstrittene These, nach der die Grammatik einer Sprache das Denken der Sprecher/innen bestimmt bzw. </w:t>
      </w:r>
      <w:proofErr w:type="spellStart"/>
      <w:r>
        <w:t>beeinflußt</w:t>
      </w:r>
      <w:proofErr w:type="spellEnd"/>
      <w:r>
        <w:t xml:space="preserve">. </w:t>
      </w:r>
    </w:p>
    <w:p w14:paraId="1FDDD0BB" w14:textId="325F4D24" w:rsidR="00FB48A9" w:rsidRDefault="00FB48A9" w:rsidP="00FB48A9">
      <w:pPr>
        <w:ind w:left="3540" w:hanging="3540"/>
        <w:jc w:val="both"/>
      </w:pPr>
      <w:r>
        <w:t>Universal Grammar:</w:t>
      </w:r>
      <w:r>
        <w:tab/>
        <w:t>Angeborene, d.h. genetisch verankerte Sprachfähigkeit; ein Begriff der Generativen Grammatik, deren wichtigster Vertreter Noam Chomsky ist.</w:t>
      </w:r>
    </w:p>
    <w:p w14:paraId="07B2FF92" w14:textId="77777777" w:rsidR="00FB48A9" w:rsidRDefault="00FB48A9" w:rsidP="00FB48A9">
      <w:pPr>
        <w:ind w:left="3540" w:hanging="3540"/>
        <w:jc w:val="both"/>
      </w:pPr>
      <w:r>
        <w:t>Deutsch als Objekt-Verb-Sprache:</w:t>
      </w:r>
      <w:r>
        <w:tab/>
        <w:t>OV-Sprache wie Hindi, Türkisch, Japanisch; Gegensatz dazu ist eine VO-Sprache wie Englisch oder Spanisch</w:t>
      </w:r>
    </w:p>
    <w:p w14:paraId="6741E5A7" w14:textId="77777777" w:rsidR="00FB48A9" w:rsidRDefault="00FB48A9" w:rsidP="00FB48A9">
      <w:pPr>
        <w:ind w:left="3540" w:hanging="3540"/>
        <w:jc w:val="both"/>
      </w:pPr>
      <w:r>
        <w:t>* = Asterisk:</w:t>
      </w:r>
      <w:r>
        <w:tab/>
        <w:t>Im Vorlesungsbeispiel: ungrammatische Form – sonst aber auch: nicht durch Texte belegte, sondern rekonstruierte Wortformen, z.B. im Indoeuropäischen</w:t>
      </w:r>
    </w:p>
    <w:p w14:paraId="24972A3F" w14:textId="77777777" w:rsidR="00FB48A9" w:rsidRDefault="00FB48A9" w:rsidP="00FB48A9">
      <w:pPr>
        <w:ind w:left="3540" w:hanging="3540"/>
        <w:jc w:val="both"/>
      </w:pPr>
      <w:r>
        <w:t>Etymologie:</w:t>
      </w:r>
      <w:r>
        <w:tab/>
        <w:t>„Herkunft“ der Wörter</w:t>
      </w:r>
    </w:p>
    <w:p w14:paraId="5DFB8927" w14:textId="15C98E2A" w:rsidR="00FB48A9" w:rsidRDefault="00FB48A9" w:rsidP="00FB48A9">
      <w:pPr>
        <w:ind w:left="3540" w:hanging="3540"/>
        <w:jc w:val="both"/>
      </w:pPr>
      <w:r>
        <w:t>semantische Kategorien:</w:t>
      </w:r>
      <w:r>
        <w:tab/>
        <w:t xml:space="preserve"> belebt – unbelebt</w:t>
      </w:r>
    </w:p>
    <w:p w14:paraId="74CC334A" w14:textId="34151B57" w:rsidR="00FB48A9" w:rsidRDefault="00FB48A9" w:rsidP="00FB48A9">
      <w:pPr>
        <w:ind w:left="3540" w:hanging="3540"/>
        <w:jc w:val="both"/>
      </w:pPr>
      <w:r>
        <w:t>Zweite/(alt)hochdeutsche Lautverschiebung:</w:t>
      </w:r>
      <w:r>
        <w:tab/>
        <w:t xml:space="preserve"> </w:t>
      </w:r>
      <w:proofErr w:type="spellStart"/>
      <w:r>
        <w:t>timber</w:t>
      </w:r>
      <w:proofErr w:type="spellEnd"/>
      <w:r>
        <w:t xml:space="preserve">/Zimmer; </w:t>
      </w:r>
      <w:proofErr w:type="spellStart"/>
      <w:r>
        <w:t>pepper</w:t>
      </w:r>
      <w:proofErr w:type="spellEnd"/>
      <w:r>
        <w:t xml:space="preserve">/Pfeffer; </w:t>
      </w:r>
      <w:proofErr w:type="spellStart"/>
      <w:r>
        <w:t>make</w:t>
      </w:r>
      <w:proofErr w:type="spellEnd"/>
      <w:r>
        <w:t xml:space="preserve">/machen; </w:t>
      </w:r>
      <w:proofErr w:type="spellStart"/>
      <w:r>
        <w:t>day</w:t>
      </w:r>
      <w:proofErr w:type="spellEnd"/>
      <w:r>
        <w:t>/Tag</w:t>
      </w:r>
    </w:p>
    <w:p w14:paraId="16989812" w14:textId="5088EFCE" w:rsidR="00FB48A9" w:rsidRDefault="00FB48A9" w:rsidP="00FB48A9">
      <w:pPr>
        <w:ind w:left="3540" w:hanging="3540"/>
        <w:jc w:val="both"/>
      </w:pPr>
      <w:r>
        <w:t>Metonymie:</w:t>
      </w:r>
      <w:r>
        <w:tab/>
        <w:t>Nutzung einer Sache als Überbegriff für eine Mehrzahl an anderen Sachen, Bedeutungsverschiebung/Verallgemeinerung; z.B. Zimmer (eigentlich Bauholz): das Material bezeichnet das damit Produzierte</w:t>
      </w:r>
    </w:p>
    <w:p w14:paraId="22580B7B" w14:textId="77777777" w:rsidR="00FB48A9" w:rsidRDefault="00FB48A9" w:rsidP="00FB48A9">
      <w:pPr>
        <w:ind w:left="3540" w:hanging="3540"/>
        <w:jc w:val="both"/>
      </w:pPr>
      <w:r>
        <w:t>Hindi:</w:t>
      </w:r>
      <w:r>
        <w:tab/>
        <w:t>Die am weitesten verbreitete Sprache Indiens mit dem Schriftsystem Devanagari</w:t>
      </w:r>
    </w:p>
    <w:p w14:paraId="27F0E6B1" w14:textId="77777777" w:rsidR="00FB48A9" w:rsidRDefault="00FB48A9" w:rsidP="00FB48A9">
      <w:pPr>
        <w:ind w:left="3540" w:hanging="3540"/>
        <w:jc w:val="both"/>
      </w:pPr>
      <w:r>
        <w:t>Tamil:</w:t>
      </w:r>
      <w:r>
        <w:tab/>
        <w:t xml:space="preserve">Südindische Sprache, die der </w:t>
      </w:r>
      <w:proofErr w:type="spellStart"/>
      <w:r>
        <w:t>dravidischen</w:t>
      </w:r>
      <w:proofErr w:type="spellEnd"/>
      <w:r>
        <w:t xml:space="preserve"> Sprachfamilie angehört; ca. 75 Millionen Sprecher/innen</w:t>
      </w:r>
    </w:p>
    <w:p w14:paraId="04D3C2F8" w14:textId="77777777" w:rsidR="00FB48A9" w:rsidRDefault="00FB48A9" w:rsidP="00FB48A9">
      <w:pPr>
        <w:ind w:left="3540" w:hanging="3540"/>
        <w:jc w:val="both"/>
      </w:pPr>
      <w:r>
        <w:t>Skopus:</w:t>
      </w:r>
      <w:r>
        <w:tab/>
        <w:t xml:space="preserve">Geltungsbereich eines sprachlichen Elements, z.B. der Negationspartikel nicht </w:t>
      </w:r>
    </w:p>
    <w:p w14:paraId="1E3E7D35" w14:textId="77777777" w:rsidR="00FB48A9" w:rsidRDefault="00FB48A9" w:rsidP="00FB48A9">
      <w:pPr>
        <w:ind w:left="3540" w:hanging="3540"/>
        <w:jc w:val="both"/>
      </w:pPr>
      <w:r>
        <w:t>Matrixsatz:</w:t>
      </w:r>
      <w:r>
        <w:tab/>
        <w:t>Ein Haupt- oder Nebensatz, in den ein anderer Satz eingebettet ist</w:t>
      </w:r>
    </w:p>
    <w:p w14:paraId="67E0D6A6" w14:textId="77777777" w:rsidR="00FB48A9" w:rsidRDefault="00FB48A9" w:rsidP="00FB48A9">
      <w:pPr>
        <w:ind w:left="3540" w:hanging="3540"/>
        <w:jc w:val="both"/>
      </w:pPr>
      <w:r>
        <w:t>Menschenarten:</w:t>
      </w:r>
      <w:r>
        <w:tab/>
        <w:t xml:space="preserve">homo erectus / Denisova-Mensch / homo neanderthalensis / homo sapiens </w:t>
      </w:r>
    </w:p>
    <w:p w14:paraId="49928D7C" w14:textId="77777777" w:rsidR="00FB48A9" w:rsidRDefault="00FB48A9" w:rsidP="00FB48A9">
      <w:pPr>
        <w:ind w:left="3540" w:hanging="3540"/>
        <w:jc w:val="both"/>
      </w:pPr>
      <w:r>
        <w:t xml:space="preserve">Sprache als Merkmal der (eigenen oder fremden) Identität </w:t>
      </w:r>
    </w:p>
    <w:p w14:paraId="262D3EA5" w14:textId="77777777" w:rsidR="00FB48A9" w:rsidRDefault="00FB48A9" w:rsidP="00FB48A9">
      <w:pPr>
        <w:ind w:left="3540" w:hanging="3540"/>
        <w:jc w:val="both"/>
      </w:pPr>
      <w:r>
        <w:t>„perfekte“ Silbenabfolge CVCV:</w:t>
      </w:r>
      <w:r>
        <w:tab/>
        <w:t xml:space="preserve">Konsonant-Vokal-Konsonant-Vokal; z.B. Banane; nicht Krampf </w:t>
      </w:r>
    </w:p>
    <w:p w14:paraId="08D4227F" w14:textId="736C8B69" w:rsidR="00FB48A9" w:rsidRDefault="00FB48A9" w:rsidP="00FB48A9">
      <w:pPr>
        <w:ind w:left="3540" w:hanging="3540"/>
        <w:jc w:val="both"/>
      </w:pPr>
      <w:r>
        <w:t>Sprache als Ausdruck von Ästhetik</w:t>
      </w:r>
    </w:p>
    <w:p w14:paraId="7A19D734" w14:textId="685F9A66" w:rsidR="00A93483" w:rsidRDefault="00A93483" w:rsidP="00FB48A9">
      <w:pPr>
        <w:ind w:left="3540" w:hanging="3540"/>
        <w:jc w:val="both"/>
      </w:pPr>
      <w:r>
        <w:t>Register:</w:t>
      </w:r>
      <w:r>
        <w:tab/>
        <w:t>Auswahl an Wörtern</w:t>
      </w:r>
    </w:p>
    <w:p w14:paraId="45360EFA" w14:textId="77777777" w:rsidR="007E6BA1" w:rsidRDefault="007E6BA1" w:rsidP="00FB48A9">
      <w:pPr>
        <w:ind w:left="3540" w:hanging="3540"/>
        <w:jc w:val="both"/>
      </w:pPr>
    </w:p>
    <w:p w14:paraId="6E4EDB43" w14:textId="4A415AE8" w:rsidR="007E6BA1" w:rsidRDefault="007E6BA1" w:rsidP="00C36D12">
      <w:pPr>
        <w:spacing w:after="0" w:line="240" w:lineRule="auto"/>
        <w:ind w:left="3540" w:hanging="354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Hildebrandslied</w:t>
      </w:r>
      <w:proofErr w:type="spellEnd"/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:</w:t>
      </w:r>
      <w:r w:rsid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Ein wichtiges </w:t>
      </w:r>
      <w:proofErr w:type="gramStart"/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Fragment</w:t>
      </w:r>
      <w:proofErr w:type="gramEnd"/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welches zeigt, dass Sprachwandel nicht Revolutionär (absolut), sondern Evolutionär erfolgt. Beinhaltet Konsonanten, die die zweite Lautverschiebung durchlaufen sind und welche, </w:t>
      </w:r>
      <w:r w:rsidRP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die das nicht getan haben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. Hat </w:t>
      </w:r>
      <w:r w:rsidRP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Merkmale sowohl von Niederdeutsch als auch von Hochdeutsch</w:t>
      </w:r>
    </w:p>
    <w:p w14:paraId="60FCDD6E" w14:textId="62832986" w:rsidR="007E6BA1" w:rsidRDefault="00644EEC" w:rsidP="00C36D12">
      <w:pPr>
        <w:spacing w:after="0" w:line="240" w:lineRule="auto"/>
        <w:ind w:left="3540" w:hanging="3540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hyperlink r:id="rId5" w:history="1">
        <w:r w:rsidR="007E6BA1" w:rsidRPr="00C36D12">
          <w:t>Isoglosse</w:t>
        </w:r>
      </w:hyperlink>
      <w:r w:rsidR="00C36D12">
        <w:t>: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ab/>
        <w:t>Unter einer Isoglosse (Binnengrenze), versteht man Sprachgrenzen/</w:t>
      </w:r>
      <w:proofErr w:type="spellStart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linien</w:t>
      </w:r>
      <w:proofErr w:type="spellEnd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, die Gebiete des gleichen Sprachgebrauchs eingrenzen</w:t>
      </w:r>
    </w:p>
    <w:p w14:paraId="0B264D7D" w14:textId="453D1882" w:rsidR="007E6BA1" w:rsidRDefault="00644EEC" w:rsidP="00896523">
      <w:pPr>
        <w:spacing w:after="0" w:line="240" w:lineRule="auto"/>
        <w:ind w:left="3540" w:hanging="354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hyperlink r:id="rId6" w:history="1">
        <w:r w:rsidR="007E6BA1" w:rsidRPr="00C36D12">
          <w:t>Isoglosse</w:t>
        </w:r>
      </w:hyperlink>
      <w:r w:rsidR="00C36D12">
        <w:t xml:space="preserve"> Beispiele:</w:t>
      </w:r>
      <w:r w:rsid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ab/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Benrather-Linie - (k --&gt; </w:t>
      </w:r>
      <w:proofErr w:type="spellStart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ch</w:t>
      </w:r>
      <w:proofErr w:type="spellEnd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)</w:t>
      </w:r>
      <w:r w:rsid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Speyrer-Linie (</w:t>
      </w:r>
      <w:proofErr w:type="spellStart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appel</w:t>
      </w:r>
      <w:proofErr w:type="spellEnd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- </w:t>
      </w:r>
      <w:proofErr w:type="spellStart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apfel</w:t>
      </w:r>
      <w:proofErr w:type="spellEnd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)</w:t>
      </w:r>
      <w:r w:rsid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</w:t>
      </w:r>
      <w:proofErr w:type="spellStart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Sungdgau</w:t>
      </w:r>
      <w:proofErr w:type="spellEnd"/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-Bodensee-Schranke</w:t>
      </w:r>
      <w:r w:rsid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(vollständige Lautverschiebung)</w:t>
      </w:r>
    </w:p>
    <w:p w14:paraId="2B75F8F2" w14:textId="26E3C08F" w:rsidR="00C36D12" w:rsidRDefault="00C36D12" w:rsidP="00896523">
      <w:pPr>
        <w:ind w:left="3540" w:hanging="354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Mittelhochdeutsch:</w:t>
      </w:r>
      <w:r>
        <w:rPr>
          <w:lang w:eastAsia="de-DE"/>
        </w:rPr>
        <w:tab/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West Germanische Sprache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Überkategorie der Indogermanische Sprachen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Sprachgrenzen sind nicht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identisch mit Landesgrenzen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.</w:t>
      </w:r>
    </w:p>
    <w:p w14:paraId="1BFE73F3" w14:textId="5864BB65" w:rsidR="007E6BA1" w:rsidRPr="00C36D12" w:rsidRDefault="00C36D12" w:rsidP="00C36D12">
      <w:pPr>
        <w:ind w:left="2124" w:hanging="2124"/>
        <w:jc w:val="both"/>
        <w:rPr>
          <w:lang w:eastAsia="de-D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Das Deutsche beinhaltet zahlreiche Dialekte</w:t>
      </w:r>
    </w:p>
    <w:p w14:paraId="692C8FB7" w14:textId="789B5A7E" w:rsidR="007E6BA1" w:rsidRDefault="00C36D12" w:rsidP="00896523">
      <w:pPr>
        <w:spacing w:after="0" w:line="240" w:lineRule="auto"/>
        <w:ind w:left="3540" w:hanging="354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r w:rsidRPr="00C36D1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de-DE"/>
          <w14:ligatures w14:val="none"/>
        </w:rPr>
        <w:lastRenderedPageBreak/>
        <w:t>Mittel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hochdeutsch: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ab/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Zwischen dem Althochdeutschen und dem Frühneuhochdeutschen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, 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Zeitliche Kategorie zeitlich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mittlere Stufe der deutschen Sprach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entwicklung.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br/>
      </w:r>
    </w:p>
    <w:p w14:paraId="1F3A7E9E" w14:textId="68BF4D9C" w:rsidR="007E6BA1" w:rsidRDefault="00896523" w:rsidP="00896523">
      <w:pPr>
        <w:spacing w:after="0" w:line="240" w:lineRule="auto"/>
        <w:ind w:left="3540" w:hanging="354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r w:rsidRP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Mittel</w:t>
      </w:r>
      <w:r w:rsidRPr="00896523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de-DE"/>
          <w14:ligatures w14:val="none"/>
        </w:rPr>
        <w:t>hoch</w:t>
      </w:r>
      <w:r w:rsidRP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deutsch</w:t>
      </w:r>
      <w:r w:rsid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:</w:t>
      </w:r>
      <w:r w:rsid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ab/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Heute dialektfreie schriftliche Form des Deutschen, die vor allem in formellen Kontexten eingesetzt wird = Qualitativer Begriff standardisierter Sprachform (Standarddeutsch)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br/>
        <w:t xml:space="preserve">Hoch in </w:t>
      </w:r>
      <w:r w:rsidRPr="00896523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mittelhochdeutschem Verständnis = Dialekte, die südlich der Benrather Linie und hoch über dem Meeresspiegel liegen (Abgrenzung zum Niederdeutschen) Quantitativer Begriff</w:t>
      </w:r>
    </w:p>
    <w:p w14:paraId="1489A630" w14:textId="2B618EEE" w:rsidR="007E6BA1" w:rsidRDefault="00C36D12" w:rsidP="006E5FCA">
      <w:pPr>
        <w:spacing w:after="0" w:line="240" w:lineRule="auto"/>
        <w:ind w:left="3540" w:hanging="354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r w:rsidRP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Periodisierung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ab/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Sprachperioden: Althochdeutsch (800-1050), Mittelhochdeutsch (1050-1350), Frühneuhochdeutsch (1350-1650), Neuhochdeutsch (ab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 </w:t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1650)</w:t>
      </w:r>
    </w:p>
    <w:p w14:paraId="679E69FA" w14:textId="495960E4" w:rsidR="007E6BA1" w:rsidRDefault="00C36D12" w:rsidP="006E5FCA">
      <w:pPr>
        <w:spacing w:after="0" w:line="240" w:lineRule="auto"/>
        <w:ind w:left="3540" w:hanging="354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r w:rsidRPr="00C36D12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Standard- und Schriftsprache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 xml:space="preserve">: </w:t>
      </w:r>
      <w:r w:rsidR="006E5FCA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ab/>
      </w:r>
      <w:r w:rsidR="007E6BA1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Jede Region sprach und schrieb im Mittelhochdeutschen ihren eigenen Dialekt. Im Mittelalter sind Dialekte die Norm es gibt kein mittelalterliches Standarddeutsc</w:t>
      </w:r>
      <w:bookmarkStart w:id="0" w:name="term_31264"/>
      <w:bookmarkEnd w:id="0"/>
      <w:r w:rsidR="006E5FCA"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h.</w:t>
      </w:r>
    </w:p>
    <w:p w14:paraId="629D1F09" w14:textId="511B46AD" w:rsidR="003C1998" w:rsidRDefault="003C1998" w:rsidP="006E5FCA">
      <w:pPr>
        <w:spacing w:after="0" w:line="240" w:lineRule="auto"/>
        <w:ind w:left="3540" w:hanging="354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Litterati: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ab/>
        <w:t>Personen mit Lateinkenntnissen (z.B. Geistliche, Kleriker)</w:t>
      </w:r>
    </w:p>
    <w:p w14:paraId="46628278" w14:textId="35F13AEE" w:rsidR="003C1998" w:rsidRDefault="003C1998" w:rsidP="006E5FCA">
      <w:pPr>
        <w:spacing w:after="0" w:line="240" w:lineRule="auto"/>
        <w:ind w:left="3540" w:hanging="354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>Illitterati: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de-DE"/>
          <w14:ligatures w14:val="none"/>
        </w:rPr>
        <w:tab/>
        <w:t>Personen ohne Lateinkenntnisse; sprechen „nur“ Volkssprache</w:t>
      </w:r>
    </w:p>
    <w:p w14:paraId="2FDCD469" w14:textId="60BAD757" w:rsidR="00B60354" w:rsidRDefault="00B60354" w:rsidP="00B60354">
      <w:pPr>
        <w:rPr>
          <w:rFonts w:ascii="Times New Roman" w:eastAsia="Times New Roman" w:hAnsi="Times New Roman" w:cs="Times New Roman"/>
          <w:sz w:val="21"/>
          <w:szCs w:val="21"/>
          <w:lang w:eastAsia="de-DE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>Tenues:</w:t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  <w:t>Stimmlose Verschlusslaute (&lt;p&gt; &lt;t&gt; und &lt;k&gt;)</w:t>
      </w:r>
    </w:p>
    <w:p w14:paraId="5555A2A9" w14:textId="7CB9F522" w:rsidR="00B60354" w:rsidRDefault="00B60354" w:rsidP="00B60354">
      <w:pPr>
        <w:rPr>
          <w:rFonts w:ascii="Times New Roman" w:eastAsia="Times New Roman" w:hAnsi="Times New Roman" w:cs="Times New Roman"/>
          <w:sz w:val="21"/>
          <w:szCs w:val="21"/>
          <w:lang w:eastAsia="de-DE"/>
        </w:rPr>
      </w:pP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>Mediae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 xml:space="preserve">: </w:t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  <w:t xml:space="preserve">Stimmhafte Verschlusslaute </w:t>
      </w:r>
      <w:bookmarkStart w:id="1" w:name="_Hlk148983979"/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>(&lt;b&gt; &lt;d&gt; und &lt;g&gt;)</w:t>
      </w:r>
      <w:bookmarkEnd w:id="1"/>
    </w:p>
    <w:p w14:paraId="75ACDFD6" w14:textId="7930361A" w:rsidR="00B60354" w:rsidRDefault="00B60354" w:rsidP="00B60354">
      <w:pPr>
        <w:rPr>
          <w:rFonts w:ascii="Times New Roman" w:eastAsia="Times New Roman" w:hAnsi="Times New Roman" w:cs="Times New Roman"/>
          <w:sz w:val="21"/>
          <w:szCs w:val="21"/>
          <w:lang w:eastAsia="de-DE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>Plosive:</w:t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  <w:t xml:space="preserve">Gesamtheit der Verschlusslaute (Tenues und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>Mediae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>)</w:t>
      </w:r>
    </w:p>
    <w:p w14:paraId="7DF5422A" w14:textId="3FA1A087" w:rsidR="00B60354" w:rsidRPr="00B60354" w:rsidRDefault="00B60354" w:rsidP="00B60354">
      <w:pPr>
        <w:rPr>
          <w:rFonts w:ascii="Times New Roman" w:eastAsia="Times New Roman" w:hAnsi="Times New Roman" w:cs="Times New Roman"/>
          <w:sz w:val="21"/>
          <w:szCs w:val="21"/>
          <w:lang w:eastAsia="de-DE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>Spiranten:</w:t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r w:rsidR="004012B7">
        <w:rPr>
          <w:rFonts w:ascii="Times New Roman" w:eastAsia="Times New Roman" w:hAnsi="Times New Roman" w:cs="Times New Roman"/>
          <w:sz w:val="21"/>
          <w:szCs w:val="21"/>
          <w:lang w:eastAsia="de-DE"/>
        </w:rPr>
        <w:t xml:space="preserve">Reibelaute (z.B. </w:t>
      </w:r>
      <w:bookmarkStart w:id="2" w:name="_Hlk148984081"/>
      <w:r w:rsidR="004012B7">
        <w:rPr>
          <w:rFonts w:ascii="Times New Roman" w:eastAsia="Times New Roman" w:hAnsi="Times New Roman" w:cs="Times New Roman"/>
          <w:sz w:val="21"/>
          <w:szCs w:val="21"/>
          <w:lang w:eastAsia="de-DE"/>
        </w:rPr>
        <w:t>&lt;f&gt;, &lt;z&gt;, &lt;h</w:t>
      </w:r>
      <w:bookmarkEnd w:id="2"/>
      <w:r w:rsidR="004012B7">
        <w:rPr>
          <w:rFonts w:ascii="Times New Roman" w:eastAsia="Times New Roman" w:hAnsi="Times New Roman" w:cs="Times New Roman"/>
          <w:sz w:val="21"/>
          <w:szCs w:val="21"/>
          <w:lang w:eastAsia="de-DE"/>
        </w:rPr>
        <w:t>&gt;)</w:t>
      </w:r>
    </w:p>
    <w:sectPr w:rsidR="00B60354" w:rsidRPr="00B60354" w:rsidSect="00FB48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A9"/>
    <w:rsid w:val="003C1998"/>
    <w:rsid w:val="004012B7"/>
    <w:rsid w:val="006E5FCA"/>
    <w:rsid w:val="007E6BA1"/>
    <w:rsid w:val="00896523"/>
    <w:rsid w:val="0095577A"/>
    <w:rsid w:val="00A93483"/>
    <w:rsid w:val="00AF5FF7"/>
    <w:rsid w:val="00B60354"/>
    <w:rsid w:val="00C36D12"/>
    <w:rsid w:val="00F74FC7"/>
    <w:rsid w:val="00FB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F4427"/>
  <w15:chartTrackingRefBased/>
  <w15:docId w15:val="{B70B6AEC-8FE8-4881-A46F-C55B284C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6B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901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6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lias.uni-freiburg.de/ilias.php?ref_id=3250571&amp;term_id=31266&amp;cmd=listDefinitions&amp;cmdClass=ilglossarypresentationgui&amp;cmdNode=eb&amp;baseClass=ilGlossaryPresentationGUI" TargetMode="External"/><Relationship Id="rId5" Type="http://schemas.openxmlformats.org/officeDocument/2006/relationships/hyperlink" Target="https://ilias.uni-freiburg.de/ilias.php?ref_id=3250571&amp;term_id=31265&amp;cmd=listDefinitions&amp;cmdClass=ilglossarypresentationgui&amp;cmdNode=eb&amp;baseClass=ilGlossaryPresentationGU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0FBEF-2EA8-4E5A-B60F-9DA60C730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Ehler</dc:creator>
  <cp:keywords/>
  <dc:description/>
  <cp:lastModifiedBy>Volker Ehler</cp:lastModifiedBy>
  <cp:revision>5</cp:revision>
  <dcterms:created xsi:type="dcterms:W3CDTF">2023-10-17T12:56:00Z</dcterms:created>
  <dcterms:modified xsi:type="dcterms:W3CDTF">2023-10-23T20:37:00Z</dcterms:modified>
</cp:coreProperties>
</file>